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8DEC4" w14:textId="024D5D4E" w:rsidR="00B05FB3" w:rsidRPr="00B5294B" w:rsidRDefault="00EB1785" w:rsidP="00B05F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23E9E226" wp14:editId="5E95A27F">
            <wp:extent cx="5135880" cy="3248660"/>
            <wp:effectExtent l="0" t="0" r="7620" b="8890"/>
            <wp:docPr id="1" name="Paveikslėlis 1" descr="http://www.esinvesticijos.lt/uploads/documents/images/%C5%BEenklai/zenklas_2015%2004%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investicijos.lt/uploads/documents/images/%C5%BEenklai/zenklas_2015%2004%20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324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44">
        <w:rPr>
          <w:rFonts w:ascii="Times New Roman" w:hAnsi="Times New Roman" w:cs="Times New Roman"/>
          <w:b/>
          <w:caps/>
          <w:sz w:val="24"/>
          <w:szCs w:val="24"/>
          <w:lang w:val="lt-LT"/>
        </w:rPr>
        <w:t>PROJ</w:t>
      </w:r>
      <w:r w:rsidR="003017D2">
        <w:rPr>
          <w:rFonts w:ascii="Times New Roman" w:hAnsi="Times New Roman" w:cs="Times New Roman"/>
          <w:b/>
          <w:caps/>
          <w:sz w:val="24"/>
          <w:szCs w:val="24"/>
          <w:lang w:val="lt-LT"/>
        </w:rPr>
        <w:t>EKTAS „</w:t>
      </w:r>
      <w:r w:rsidR="00B05FB3" w:rsidRPr="00640E14">
        <w:rPr>
          <w:rFonts w:ascii="Times New Roman" w:hAnsi="Times New Roman" w:cs="Times New Roman"/>
          <w:b/>
          <w:caps/>
          <w:sz w:val="24"/>
          <w:szCs w:val="24"/>
          <w:lang w:val="lt-LT"/>
        </w:rPr>
        <w:t xml:space="preserve">Pasirengimas įgyvendinti ikimokyklinio, priešmokyklinio ir bendrojo ugdymo </w:t>
      </w:r>
      <w:r w:rsidR="00B05FB3" w:rsidRPr="00B5294B">
        <w:rPr>
          <w:rFonts w:ascii="Times New Roman" w:hAnsi="Times New Roman" w:cs="Times New Roman"/>
          <w:b/>
          <w:caps/>
          <w:sz w:val="24"/>
          <w:szCs w:val="24"/>
          <w:lang w:val="lt-LT"/>
        </w:rPr>
        <w:t>finansavimo pertvarką ir įgyvendinimo koordinavimas</w:t>
      </w:r>
      <w:r w:rsidR="003017D2">
        <w:rPr>
          <w:rFonts w:ascii="Times New Roman" w:hAnsi="Times New Roman" w:cs="Times New Roman"/>
          <w:b/>
          <w:caps/>
          <w:sz w:val="24"/>
          <w:szCs w:val="24"/>
          <w:lang w:val="lt-LT"/>
        </w:rPr>
        <w:t>“</w:t>
      </w:r>
    </w:p>
    <w:p w14:paraId="3ED6B30F" w14:textId="2E4F9968" w:rsidR="00B05FB3" w:rsidRPr="00640E14" w:rsidRDefault="00B05FB3" w:rsidP="00B05F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5294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Projekto Nr.:</w:t>
      </w:r>
      <w:r w:rsidRPr="00B5294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 10.1.1-ESFA-V-912-02-003 </w:t>
      </w:r>
      <w:r w:rsidRPr="00B5294B"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  <w:br/>
      </w:r>
      <w:r w:rsidRPr="00B5294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Projekto trukmė:</w:t>
      </w:r>
      <w:r w:rsidRPr="00B5294B">
        <w:rPr>
          <w:rFonts w:ascii="Times New Roman" w:eastAsia="Times New Roman" w:hAnsi="Times New Roman" w:cs="Times New Roman"/>
          <w:sz w:val="24"/>
          <w:szCs w:val="24"/>
          <w:lang w:val="lt-LT"/>
        </w:rPr>
        <w:t> 201</w:t>
      </w:r>
      <w:r w:rsidR="00B742BD" w:rsidRPr="00B5294B">
        <w:rPr>
          <w:rFonts w:ascii="Times New Roman" w:eastAsia="Times New Roman" w:hAnsi="Times New Roman" w:cs="Times New Roman"/>
          <w:sz w:val="24"/>
          <w:szCs w:val="24"/>
          <w:lang w:val="lt-LT"/>
        </w:rPr>
        <w:t>8</w:t>
      </w:r>
      <w:r w:rsidRPr="00B5294B">
        <w:rPr>
          <w:rFonts w:ascii="Times New Roman" w:eastAsia="Times New Roman" w:hAnsi="Times New Roman" w:cs="Times New Roman"/>
          <w:sz w:val="24"/>
          <w:szCs w:val="24"/>
          <w:lang w:val="lt-LT"/>
        </w:rPr>
        <w:t> m. kovo 15 d. – 201</w:t>
      </w:r>
      <w:r w:rsidR="00B742BD" w:rsidRPr="00B5294B">
        <w:rPr>
          <w:rFonts w:ascii="Times New Roman" w:eastAsia="Times New Roman" w:hAnsi="Times New Roman" w:cs="Times New Roman"/>
          <w:sz w:val="24"/>
          <w:szCs w:val="24"/>
          <w:lang w:val="lt-LT"/>
        </w:rPr>
        <w:t>9</w:t>
      </w:r>
      <w:r w:rsidRPr="00B5294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 rugsėjo 15 d. (18 mėnesių)</w:t>
      </w:r>
      <w:r w:rsidRPr="00B5294B"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  <w:br/>
      </w:r>
      <w:r w:rsidRPr="00B5294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Projekto vertė:</w:t>
      </w:r>
      <w:r w:rsidRPr="00B5294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 408 985,60 </w:t>
      </w:r>
      <w:proofErr w:type="spellStart"/>
      <w:r w:rsidRPr="00B5294B">
        <w:rPr>
          <w:rFonts w:ascii="Times New Roman" w:eastAsia="Times New Roman" w:hAnsi="Times New Roman" w:cs="Times New Roman"/>
          <w:sz w:val="24"/>
          <w:szCs w:val="24"/>
          <w:lang w:val="lt-LT"/>
        </w:rPr>
        <w:t>Eur</w:t>
      </w:r>
      <w:proofErr w:type="spellEnd"/>
    </w:p>
    <w:p w14:paraId="4DA02695" w14:textId="68E5F624" w:rsidR="00B05FB3" w:rsidRPr="00640E14" w:rsidRDefault="00132517" w:rsidP="00B05F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Trum</w:t>
      </w:r>
      <w:r w:rsidR="003A1E3C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as p</w:t>
      </w:r>
      <w:r w:rsidR="00B05FB3" w:rsidRPr="00640E1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rojekto apibūdinimas</w:t>
      </w:r>
    </w:p>
    <w:p w14:paraId="13F4FDB2" w14:textId="6F457564" w:rsidR="00F94363" w:rsidRPr="00640E14" w:rsidRDefault="00F94363" w:rsidP="00F94363">
      <w:pPr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40E14">
        <w:rPr>
          <w:rFonts w:ascii="Times New Roman" w:hAnsi="Times New Roman" w:cs="Times New Roman"/>
          <w:sz w:val="24"/>
          <w:szCs w:val="24"/>
          <w:lang w:val="lt-LT"/>
        </w:rPr>
        <w:t>Projektas</w:t>
      </w:r>
      <w:r w:rsidRPr="00640E14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r w:rsidRPr="00B5294B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Pr="00640E14">
        <w:rPr>
          <w:rFonts w:ascii="Times New Roman" w:hAnsi="Times New Roman" w:cs="Times New Roman"/>
          <w:sz w:val="24"/>
          <w:szCs w:val="24"/>
          <w:lang w:val="lt-LT"/>
        </w:rPr>
        <w:t xml:space="preserve">Pasirengimas įgyvendinti ikimokyklinio, priešmokyklinio ir bendrojo ugdymo finansavimo pertvarką ir įgyvendinimo koordinavimas“ </w:t>
      </w:r>
      <w:r w:rsidRPr="00640E14">
        <w:rPr>
          <w:rFonts w:ascii="Times New Roman" w:eastAsia="Times New Roman" w:hAnsi="Times New Roman" w:cs="Times New Roman"/>
          <w:sz w:val="24"/>
          <w:szCs w:val="24"/>
          <w:lang w:val="lt-LT"/>
        </w:rPr>
        <w:t>finansuojamas iš 2014</w:t>
      </w:r>
      <w:r w:rsidR="00132517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Pr="00640E1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2020 metų Europos Sąjungos fondų investicijų veiksmų programos 10 prioriteto </w:t>
      </w:r>
      <w:r w:rsidRPr="00640E14">
        <w:rPr>
          <w:rFonts w:ascii="Times New Roman" w:eastAsia="Calibri" w:hAnsi="Times New Roman" w:cs="Times New Roman"/>
          <w:sz w:val="24"/>
          <w:szCs w:val="24"/>
          <w:lang w:val="lt-LT"/>
        </w:rPr>
        <w:t>„Visuomenės poreikius atitinkantis ir pažangus viešasis valdymas“ Nr. 10.1.1-ESFA-V-912 priemonės „Nacionalinių reformų skatinimas ir viešojo valdymo institucijų veiklos gerinimas“.</w:t>
      </w:r>
    </w:p>
    <w:p w14:paraId="38B547CB" w14:textId="77777777" w:rsidR="00F94363" w:rsidRPr="00640E14" w:rsidRDefault="00F94363" w:rsidP="00F94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40E14">
        <w:rPr>
          <w:rFonts w:ascii="Times New Roman" w:hAnsi="Times New Roman" w:cs="Times New Roman"/>
          <w:sz w:val="24"/>
          <w:szCs w:val="24"/>
          <w:lang w:val="lt-LT"/>
        </w:rPr>
        <w:t>Projekto tikslas – pasirengti naujoms mokyklų, vykdančių ikimokyklinio, priešmokyklinio ir bendrojo ugdymo programas</w:t>
      </w:r>
      <w:r w:rsidR="00132517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640E14">
        <w:rPr>
          <w:rFonts w:ascii="Times New Roman" w:hAnsi="Times New Roman" w:cs="Times New Roman"/>
          <w:sz w:val="24"/>
          <w:szCs w:val="24"/>
          <w:lang w:val="lt-LT"/>
        </w:rPr>
        <w:t xml:space="preserve"> finansavimo pertvarkoms:</w:t>
      </w:r>
    </w:p>
    <w:p w14:paraId="1D8FFE15" w14:textId="77777777" w:rsidR="00F94363" w:rsidRPr="00640E14" w:rsidRDefault="00F94363" w:rsidP="00F94363">
      <w:pPr>
        <w:spacing w:after="0" w:line="240" w:lineRule="auto"/>
        <w:ind w:firstLine="914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640E14">
        <w:rPr>
          <w:rFonts w:ascii="Times New Roman" w:hAnsi="Times New Roman" w:cs="Times New Roman"/>
          <w:sz w:val="24"/>
          <w:szCs w:val="24"/>
          <w:lang w:val="lt-LT"/>
        </w:rPr>
        <w:t xml:space="preserve">1) </w:t>
      </w:r>
      <w:r w:rsidRPr="00640E1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ikimokyklinio ir priešmokyklinio ugdymo finansavimo modelio keitimui dėl </w:t>
      </w:r>
      <w:r w:rsidRPr="00640E14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institucinio vaikų ugdymo ankstinimo (priešmokyklinis ugdymas nuo 5 metų, pradinis ugdymas nuo 6 metų); </w:t>
      </w:r>
    </w:p>
    <w:p w14:paraId="38131C1C" w14:textId="77777777" w:rsidR="00F94363" w:rsidRPr="00640E14" w:rsidRDefault="00F94363" w:rsidP="00F94363">
      <w:pPr>
        <w:spacing w:after="0" w:line="240" w:lineRule="auto"/>
        <w:ind w:firstLine="914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640E14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2) mokymo lėšų apskaičiavimo principo keitimui; </w:t>
      </w:r>
    </w:p>
    <w:p w14:paraId="502A25A7" w14:textId="56B57E5B" w:rsidR="00F94363" w:rsidRPr="00640E14" w:rsidRDefault="00F94363" w:rsidP="00F94363">
      <w:pPr>
        <w:spacing w:after="0" w:line="240" w:lineRule="auto"/>
        <w:ind w:firstLine="914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640E14">
        <w:rPr>
          <w:rFonts w:ascii="Times New Roman" w:hAnsi="Times New Roman" w:cs="Times New Roman"/>
          <w:color w:val="000000"/>
          <w:sz w:val="24"/>
          <w:szCs w:val="24"/>
          <w:lang w:val="lt-LT"/>
        </w:rPr>
        <w:t>3) mokytojų darbo apmokėjimo keitimui – tarifinį atlygį kei</w:t>
      </w:r>
      <w:r w:rsidR="00C361B1">
        <w:rPr>
          <w:rFonts w:ascii="Times New Roman" w:hAnsi="Times New Roman" w:cs="Times New Roman"/>
          <w:color w:val="000000"/>
          <w:sz w:val="24"/>
          <w:szCs w:val="24"/>
          <w:lang w:val="lt-LT"/>
        </w:rPr>
        <w:t>č</w:t>
      </w:r>
      <w:r w:rsidRPr="00640E14">
        <w:rPr>
          <w:rFonts w:ascii="Times New Roman" w:hAnsi="Times New Roman" w:cs="Times New Roman"/>
          <w:color w:val="000000"/>
          <w:sz w:val="24"/>
          <w:szCs w:val="24"/>
          <w:lang w:val="lt-LT"/>
        </w:rPr>
        <w:t>i</w:t>
      </w:r>
      <w:r w:rsidR="00C361B1">
        <w:rPr>
          <w:rFonts w:ascii="Times New Roman" w:hAnsi="Times New Roman" w:cs="Times New Roman"/>
          <w:color w:val="000000"/>
          <w:sz w:val="24"/>
          <w:szCs w:val="24"/>
          <w:lang w:val="lt-LT"/>
        </w:rPr>
        <w:t>ant</w:t>
      </w:r>
      <w:r w:rsidRPr="00640E14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į etatinį darbo apmokėjimą; </w:t>
      </w:r>
    </w:p>
    <w:p w14:paraId="7BF35C71" w14:textId="0BBD3ACF" w:rsidR="00F94363" w:rsidRPr="00640E14" w:rsidRDefault="00F94363" w:rsidP="00F94363">
      <w:pPr>
        <w:spacing w:after="0" w:line="240" w:lineRule="auto"/>
        <w:ind w:firstLine="91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40E14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4) </w:t>
      </w:r>
      <w:r w:rsidRPr="00640E14">
        <w:rPr>
          <w:rFonts w:ascii="Times New Roman" w:hAnsi="Times New Roman" w:cs="Times New Roman"/>
          <w:sz w:val="24"/>
          <w:szCs w:val="24"/>
          <w:lang w:val="lt-LT"/>
        </w:rPr>
        <w:t>mokyklų savarankiškumo didinimui dėl finansinių išteklių naudojimo, keičiant</w:t>
      </w:r>
      <w:r w:rsidRPr="00640E14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Pr="00640E14">
        <w:rPr>
          <w:rFonts w:ascii="Times New Roman" w:hAnsi="Times New Roman" w:cs="Times New Roman"/>
          <w:sz w:val="24"/>
          <w:szCs w:val="24"/>
          <w:lang w:val="lt-LT"/>
        </w:rPr>
        <w:t>mokyklų tinklą.</w:t>
      </w:r>
    </w:p>
    <w:p w14:paraId="422E6704" w14:textId="77777777" w:rsidR="00F94363" w:rsidRPr="00640E14" w:rsidRDefault="00F94363" w:rsidP="00F9436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932E9FC" w14:textId="77777777" w:rsidR="00300D59" w:rsidRPr="00640E14" w:rsidRDefault="00300D59" w:rsidP="00F94363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40E14">
        <w:rPr>
          <w:rFonts w:ascii="Times New Roman" w:hAnsi="Times New Roman" w:cs="Times New Roman"/>
          <w:b/>
          <w:sz w:val="24"/>
          <w:szCs w:val="24"/>
          <w:lang w:val="lt-LT"/>
        </w:rPr>
        <w:t>Siekiami projekto rezultatai</w:t>
      </w:r>
    </w:p>
    <w:p w14:paraId="014720BF" w14:textId="77777777" w:rsidR="006641A4" w:rsidRPr="00640E14" w:rsidRDefault="006641A4" w:rsidP="006641A4">
      <w:pPr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640E14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Siekiant ankstinti priešmokyklinį ugdymą nuo 5 metų ir pradinį ugdymą nuo 6 metų, </w:t>
      </w:r>
      <w:r w:rsidRPr="00640E14">
        <w:rPr>
          <w:rFonts w:ascii="Times New Roman" w:hAnsi="Times New Roman" w:cs="Times New Roman"/>
          <w:sz w:val="24"/>
          <w:szCs w:val="24"/>
          <w:lang w:val="lt-LT"/>
        </w:rPr>
        <w:t>bus atliktas pokyčio realizavimo galimybių įvertinimas ir parengti s</w:t>
      </w:r>
      <w:r w:rsidRPr="00640E1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iūlymai dėl finansavimo modelio. </w:t>
      </w:r>
    </w:p>
    <w:p w14:paraId="20BFFBB5" w14:textId="17DF1AAA" w:rsidR="006641A4" w:rsidRPr="00640E14" w:rsidRDefault="006641A4" w:rsidP="006641A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40E14">
        <w:rPr>
          <w:rFonts w:ascii="Times New Roman" w:hAnsi="Times New Roman" w:cs="Times New Roman"/>
          <w:sz w:val="24"/>
          <w:szCs w:val="24"/>
          <w:lang w:val="lt-LT"/>
        </w:rPr>
        <w:t>Keičiant mokinio krepšelį</w:t>
      </w:r>
      <w:r w:rsidR="00FD1870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640E14">
        <w:rPr>
          <w:rFonts w:ascii="Times New Roman" w:hAnsi="Times New Roman" w:cs="Times New Roman"/>
          <w:sz w:val="24"/>
          <w:szCs w:val="24"/>
          <w:lang w:val="lt-LT"/>
        </w:rPr>
        <w:t xml:space="preserve"> bus analizuojamos įvairios alternatyvos ir </w:t>
      </w:r>
      <w:r w:rsidRPr="00640E1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modeliuojama, kaip keičiant mokymo lėšų apskaičiavimo ir paskirstymo metodiką pasiekti, kad vidutinis mokytojų darbo užmokestis padidėtų nuo 820,5 </w:t>
      </w:r>
      <w:proofErr w:type="spellStart"/>
      <w:r w:rsidRPr="00640E14">
        <w:rPr>
          <w:rFonts w:ascii="Times New Roman" w:hAnsi="Times New Roman" w:cs="Times New Roman"/>
          <w:bCs/>
          <w:sz w:val="24"/>
          <w:szCs w:val="24"/>
          <w:lang w:val="lt-LT"/>
        </w:rPr>
        <w:t>Eur</w:t>
      </w:r>
      <w:proofErr w:type="spellEnd"/>
      <w:r w:rsidRPr="00640E1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(2016 m. I </w:t>
      </w:r>
      <w:proofErr w:type="spellStart"/>
      <w:r w:rsidRPr="00640E14">
        <w:rPr>
          <w:rFonts w:ascii="Times New Roman" w:hAnsi="Times New Roman" w:cs="Times New Roman"/>
          <w:bCs/>
          <w:sz w:val="24"/>
          <w:szCs w:val="24"/>
          <w:lang w:val="lt-LT"/>
        </w:rPr>
        <w:t>ketv</w:t>
      </w:r>
      <w:proofErr w:type="spellEnd"/>
      <w:r w:rsidRPr="00640E1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.) iki 1000 </w:t>
      </w:r>
      <w:proofErr w:type="spellStart"/>
      <w:r w:rsidRPr="00640E14">
        <w:rPr>
          <w:rFonts w:ascii="Times New Roman" w:hAnsi="Times New Roman" w:cs="Times New Roman"/>
          <w:bCs/>
          <w:sz w:val="24"/>
          <w:szCs w:val="24"/>
          <w:lang w:val="lt-LT"/>
        </w:rPr>
        <w:t>Eur</w:t>
      </w:r>
      <w:proofErr w:type="spellEnd"/>
      <w:r w:rsidRPr="00640E1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(2020 m.). Bus </w:t>
      </w:r>
      <w:r w:rsidRPr="00640E14">
        <w:rPr>
          <w:rFonts w:ascii="Times New Roman" w:hAnsi="Times New Roman" w:cs="Times New Roman"/>
          <w:sz w:val="24"/>
          <w:szCs w:val="24"/>
          <w:lang w:val="lt-LT"/>
        </w:rPr>
        <w:t xml:space="preserve">parengti siūlymai </w:t>
      </w:r>
      <w:r w:rsidRPr="00640E14">
        <w:rPr>
          <w:rFonts w:ascii="Times New Roman" w:hAnsi="Times New Roman" w:cs="Times New Roman"/>
          <w:bCs/>
          <w:sz w:val="24"/>
          <w:szCs w:val="24"/>
          <w:lang w:val="lt-LT"/>
        </w:rPr>
        <w:t>dėl mokymo lėšų apskaičiavimo ir paskirstymo metodikos tobulinimo.</w:t>
      </w:r>
      <w:r w:rsidRPr="00640E1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00280AB4" w14:textId="6FAA7A7D" w:rsidR="006641A4" w:rsidRPr="00640E14" w:rsidRDefault="006641A4" w:rsidP="006641A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40E14">
        <w:rPr>
          <w:rFonts w:ascii="Times New Roman" w:hAnsi="Times New Roman" w:cs="Times New Roman"/>
          <w:sz w:val="24"/>
          <w:szCs w:val="24"/>
          <w:lang w:val="lt-LT"/>
        </w:rPr>
        <w:t>Pasirengiant vykdyti mokytojų etatinio darbo apmokėjimo pertvarką, rengiamos r</w:t>
      </w:r>
      <w:r w:rsidRPr="00640E1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ekomendacijos savivaldybėms dėl pertvarkos koordinavimo, </w:t>
      </w:r>
      <w:r w:rsidR="00132517">
        <w:rPr>
          <w:rFonts w:ascii="Times New Roman" w:hAnsi="Times New Roman" w:cs="Times New Roman"/>
          <w:bCs/>
          <w:sz w:val="24"/>
          <w:szCs w:val="24"/>
          <w:lang w:val="lt-LT"/>
        </w:rPr>
        <w:t>kartu</w:t>
      </w:r>
      <w:r w:rsidRPr="00640E1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pateikiant būd</w:t>
      </w:r>
      <w:r w:rsidR="00B77502">
        <w:rPr>
          <w:rFonts w:ascii="Times New Roman" w:hAnsi="Times New Roman" w:cs="Times New Roman"/>
          <w:bCs/>
          <w:sz w:val="24"/>
          <w:szCs w:val="24"/>
          <w:lang w:val="lt-LT"/>
        </w:rPr>
        <w:t>ų</w:t>
      </w:r>
      <w:r w:rsidRPr="00640E14">
        <w:rPr>
          <w:rFonts w:ascii="Times New Roman" w:hAnsi="Times New Roman" w:cs="Times New Roman"/>
          <w:bCs/>
          <w:sz w:val="24"/>
          <w:szCs w:val="24"/>
          <w:lang w:val="lt-LT"/>
        </w:rPr>
        <w:t>, kaip efektyviau valdyti mokymo lėšas, siekiant užtikrinti ugdymo kokybę. Organizuojami mokymai 180 viešojo valdymo institucijų darbuotojų, kurie teiks konsultacijas mokykloms dėl pasirengimo diegti etatin</w:t>
      </w:r>
      <w:r w:rsidR="001860F0">
        <w:rPr>
          <w:rFonts w:ascii="Times New Roman" w:hAnsi="Times New Roman" w:cs="Times New Roman"/>
          <w:bCs/>
          <w:sz w:val="24"/>
          <w:szCs w:val="24"/>
          <w:lang w:val="lt-LT"/>
        </w:rPr>
        <w:t>io</w:t>
      </w:r>
      <w:r w:rsidRPr="00640E1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mokytojų darbo apmokėjim</w:t>
      </w:r>
      <w:r w:rsidR="001860F0">
        <w:rPr>
          <w:rFonts w:ascii="Times New Roman" w:hAnsi="Times New Roman" w:cs="Times New Roman"/>
          <w:bCs/>
          <w:sz w:val="24"/>
          <w:szCs w:val="24"/>
          <w:lang w:val="lt-LT"/>
        </w:rPr>
        <w:t>o modelį</w:t>
      </w:r>
      <w:r w:rsidRPr="00640E14">
        <w:rPr>
          <w:rFonts w:ascii="Times New Roman" w:hAnsi="Times New Roman" w:cs="Times New Roman"/>
          <w:bCs/>
          <w:sz w:val="24"/>
          <w:szCs w:val="24"/>
          <w:lang w:val="lt-LT"/>
        </w:rPr>
        <w:t>. Taip pat bus teikiamos informavimo ir konsultavimo paslaugos mokyklų atstovams</w:t>
      </w:r>
      <w:r w:rsidRPr="00640E1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1B2F3FFF" w14:textId="77777777" w:rsidR="006641A4" w:rsidRPr="00640E14" w:rsidRDefault="006641A4" w:rsidP="006641A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40E14">
        <w:rPr>
          <w:rFonts w:ascii="Times New Roman" w:hAnsi="Times New Roman" w:cs="Times New Roman"/>
          <w:sz w:val="24"/>
          <w:szCs w:val="24"/>
          <w:lang w:val="lt-LT"/>
        </w:rPr>
        <w:lastRenderedPageBreak/>
        <w:t>Didinant mokyklų savarankiškumą dėl finansinių išteklių naudojimo, rengiamos r</w:t>
      </w:r>
      <w:r w:rsidRPr="00640E14">
        <w:rPr>
          <w:rFonts w:ascii="Times New Roman" w:hAnsi="Times New Roman" w:cs="Times New Roman"/>
          <w:bCs/>
          <w:sz w:val="24"/>
          <w:szCs w:val="24"/>
          <w:lang w:val="lt-LT"/>
        </w:rPr>
        <w:t>ekomendacijos dėl mokyklų tinklo pertvarkos, įteisinant jungtines mokyklas ir inicijuojant jų kūrimą savivaldybėse.</w:t>
      </w:r>
      <w:r w:rsidRPr="00640E1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7EB6D5FD" w14:textId="77777777" w:rsidR="006641A4" w:rsidRPr="00640E14" w:rsidRDefault="006641A4" w:rsidP="006641A4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40E14">
        <w:rPr>
          <w:rFonts w:ascii="Times New Roman" w:hAnsi="Times New Roman" w:cs="Times New Roman"/>
          <w:bCs/>
          <w:sz w:val="24"/>
          <w:szCs w:val="24"/>
          <w:lang w:val="lt-LT"/>
        </w:rPr>
        <w:t>Vykdomų pertvarkų stebėsenai vykdyti planuojama parengti priimamų sprendimų</w:t>
      </w:r>
      <w:r w:rsidRPr="00640E1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E14">
        <w:rPr>
          <w:rFonts w:ascii="Times New Roman" w:hAnsi="Times New Roman" w:cs="Times New Roman"/>
          <w:bCs/>
          <w:sz w:val="24"/>
          <w:szCs w:val="24"/>
          <w:lang w:val="lt-LT"/>
        </w:rPr>
        <w:t>prognostinius vertinimus. Vertinimus vykdytų projekto metu įgalinti kurti įrankius ir jais remiantis vykdyti švietimo srityje priimamų sprendimų poveikio prognostinius vertinimus</w:t>
      </w:r>
      <w:r w:rsidRPr="00640E1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40E1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lt-LT"/>
        </w:rPr>
        <w:t>5</w:t>
      </w:r>
      <w:r w:rsidRPr="00640E14">
        <w:rPr>
          <w:rFonts w:ascii="Times New Roman" w:hAnsi="Times New Roman" w:cs="Times New Roman"/>
          <w:sz w:val="24"/>
          <w:szCs w:val="24"/>
          <w:lang w:val="lt-LT"/>
        </w:rPr>
        <w:t xml:space="preserve"> v</w:t>
      </w:r>
      <w:r w:rsidRPr="00640E1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iešojo valdymo institucijų darbuotojai. </w:t>
      </w:r>
      <w:r w:rsidRPr="00640E1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473C5245" w14:textId="77777777" w:rsidR="00300D59" w:rsidRPr="00640E14" w:rsidRDefault="00300D59" w:rsidP="00F9436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02CECF7" w14:textId="77777777" w:rsidR="008E68A7" w:rsidRPr="00640E14" w:rsidRDefault="003C559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640E1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Projekto veiklos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062261" w:rsidRPr="00640E14" w14:paraId="3A51E55E" w14:textId="77777777" w:rsidTr="00D420D4">
        <w:tc>
          <w:tcPr>
            <w:tcW w:w="9350" w:type="dxa"/>
            <w:gridSpan w:val="2"/>
          </w:tcPr>
          <w:p w14:paraId="068BC003" w14:textId="77777777" w:rsidR="00062261" w:rsidRPr="00640E14" w:rsidRDefault="000622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uždavinys: pasirengti įgyvendinti mokyklų, vykdančių ikimokyklinio, priešmokyklinio ir bendrojo ugdymo programas</w:t>
            </w:r>
            <w:r w:rsidR="00AD033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finansavimo pertvarkas</w:t>
            </w:r>
          </w:p>
        </w:tc>
      </w:tr>
      <w:tr w:rsidR="00062261" w:rsidRPr="00640E14" w14:paraId="16A60144" w14:textId="77777777" w:rsidTr="0029794D">
        <w:tc>
          <w:tcPr>
            <w:tcW w:w="2785" w:type="dxa"/>
          </w:tcPr>
          <w:p w14:paraId="72D91C6A" w14:textId="77777777" w:rsidR="00062261" w:rsidRPr="00640E14" w:rsidRDefault="00AD033C" w:rsidP="00B5294B">
            <w:pPr>
              <w:pStyle w:val="Sraopastraipa"/>
              <w:ind w:left="30" w:hanging="46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1.1 </w:t>
            </w:r>
            <w:r w:rsidR="00062261"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veikla: siūlymų dėl mokymo lėšų apskaičiavimo ir paskirstymo metodikos tobulinimo parengimas</w:t>
            </w:r>
          </w:p>
        </w:tc>
        <w:tc>
          <w:tcPr>
            <w:tcW w:w="6565" w:type="dxa"/>
          </w:tcPr>
          <w:p w14:paraId="0E240379" w14:textId="37B2B04E" w:rsidR="00062261" w:rsidRPr="00640E14" w:rsidRDefault="0029794D" w:rsidP="002979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Analizuojamos įvairios alternatyvos ir 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modeliuojama, kaip keičiant mokymo lėšų apskaičiavimo ir paskirstymo metodiką pasiekti, kad vidutinis mokytojų darbo užmokestis padidėtų nuo 820,5 </w:t>
            </w:r>
            <w:proofErr w:type="spellStart"/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Eur</w:t>
            </w:r>
            <w:proofErr w:type="spellEnd"/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(2016 m. I </w:t>
            </w:r>
            <w:proofErr w:type="spellStart"/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ketv</w:t>
            </w:r>
            <w:proofErr w:type="spellEnd"/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.) iki 1000 </w:t>
            </w:r>
            <w:proofErr w:type="spellStart"/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Eur</w:t>
            </w:r>
            <w:proofErr w:type="spellEnd"/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(2020 m.). Vykdomos viešos konsultacijos su suinteresuotomis šalimis dėl mokymo lėšų apskaičiavimo ir paskirstymo metodikos tobulinimo. Remiantis analitinės veiklos ir konsultacijų rezultatais</w:t>
            </w:r>
            <w:r w:rsidR="00AD033C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,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planuojama parengti siūlymų paketą, kuriame bus pateikti atliktos analizės ir vykdytų viešų konsultacijų rezultatai, siūlymai 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dėl mokymo lėšų apskaičiavimo ir paskirstymo metodikos tobulinimo.</w:t>
            </w:r>
            <w:r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29794D" w:rsidRPr="00640E14" w14:paraId="107DAA37" w14:textId="77777777" w:rsidTr="0029794D">
        <w:tc>
          <w:tcPr>
            <w:tcW w:w="2785" w:type="dxa"/>
          </w:tcPr>
          <w:p w14:paraId="798B4C0A" w14:textId="77777777" w:rsidR="0029794D" w:rsidRPr="00640E14" w:rsidRDefault="00AD033C" w:rsidP="00B5294B">
            <w:pPr>
              <w:pStyle w:val="Sraopastraipa"/>
              <w:ind w:left="30" w:hanging="46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1.2 </w:t>
            </w:r>
            <w:r w:rsidR="0029794D"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veikla: </w:t>
            </w:r>
            <w:r w:rsidR="0029794D"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savivaldybių pasirengimo pereiti prie </w:t>
            </w:r>
            <w:r w:rsidR="0029794D"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institucinio vaikų ugdymo (priešmokyklinis ugdymas nuo 5 metų, pradinis ugdymas nuo 6 metų) studijos ir </w:t>
            </w:r>
            <w:r w:rsidR="0029794D"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siūlymų dėl ikimokyklinio ir priešmokyklinio ugdymo finansavimo modelio</w:t>
            </w:r>
            <w:r w:rsidR="0029794D"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parengimas</w:t>
            </w:r>
          </w:p>
        </w:tc>
        <w:tc>
          <w:tcPr>
            <w:tcW w:w="6565" w:type="dxa"/>
          </w:tcPr>
          <w:p w14:paraId="6FF120A1" w14:textId="176D9544" w:rsidR="0029794D" w:rsidRPr="00640E14" w:rsidRDefault="0029794D" w:rsidP="00B742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Siekiant paankstinti </w:t>
            </w:r>
            <w:r w:rsidRPr="00640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priešmokyklinį ugdymą nuo 5 metų ir pradinį ugdymą nuo 6 metų</w:t>
            </w:r>
            <w:r w:rsidR="00261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,</w:t>
            </w:r>
            <w:r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pirmiausia reikia įvertinti: </w:t>
            </w:r>
            <w:r w:rsidRPr="00640E14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finansinius srautus, nukreiptus į vaiką savivaldybėje, imant visą spektrą paslaugų;</w:t>
            </w:r>
            <w:r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40E14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galimas rizikas dėl pedagogų pasirengimo, mokyklų fizinės aplinkos, pavėžėjimo galimybės, lydinčio asmens galimybės ir kt.;</w:t>
            </w:r>
            <w:r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40E14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kokių investicijų reikia; </w:t>
            </w:r>
            <w:r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galimybę modeliuoti skirtingus </w:t>
            </w:r>
            <w:r w:rsidR="00DB44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ikimokyklinio ir priešmokyklinio ugdymo </w:t>
            </w:r>
            <w:r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finansavimo šaltinius iš valstybės ir savivaldybės biudžetų, optimizuojant vaikui skiriamas lėšas ir iš kitų šaltinių; kitų šalių patirtis priešmokyklin</w:t>
            </w:r>
            <w:r w:rsidR="002611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io</w:t>
            </w:r>
            <w:r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pradin</w:t>
            </w:r>
            <w:r w:rsidR="002611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io</w:t>
            </w:r>
            <w:r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ugdym</w:t>
            </w:r>
            <w:r w:rsidR="002611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 finansavimo srityje</w:t>
            </w:r>
            <w:r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Būtinus vertinimus planuojama atlikti parengiant 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savivaldybių pasirengimo pereiti prie </w:t>
            </w:r>
            <w:r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institucinio vaikų ugdymo (priešmokyklinis ugdymas nuo 5 metų, pradinis ugdymas nuo 6 metų) studiją. Taip pat būtų vykdomos 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viešos konsultacijos su suinteresuotomis šalimis</w:t>
            </w:r>
            <w:r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DB44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lanuojama parengti s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iūlymų paketą, </w:t>
            </w:r>
            <w:r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kuriame bus pateikti atliktos studijos ir vykdytų viešų konsultacijų rezultatai, siūlymai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dėl ikimokyklinio ir priešmokyklinio ugdymo finansavimo pertvarkos. Šie siūlymai būtini</w:t>
            </w:r>
            <w:r w:rsidR="002611BE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,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priimant sprendimus dėl ikimokyklinio ir priešmokyklinio ugdymo finansavimo.  </w:t>
            </w:r>
          </w:p>
        </w:tc>
      </w:tr>
      <w:tr w:rsidR="003E6D62" w:rsidRPr="00640E14" w14:paraId="15E7B41F" w14:textId="77777777" w:rsidTr="0029794D">
        <w:tc>
          <w:tcPr>
            <w:tcW w:w="2785" w:type="dxa"/>
          </w:tcPr>
          <w:p w14:paraId="3FF7BED8" w14:textId="77777777" w:rsidR="003E6D62" w:rsidRPr="00640E14" w:rsidRDefault="00AD033C" w:rsidP="00B5294B">
            <w:pPr>
              <w:pStyle w:val="Sraopastraipa"/>
              <w:ind w:left="30" w:hanging="46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1.3 </w:t>
            </w:r>
            <w:r w:rsidR="003E6D62"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veikla: </w:t>
            </w:r>
            <w:r w:rsidR="003E6D62"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rekomendacijų dėl mokyklų tinklo pertvarkos parengimas</w:t>
            </w:r>
          </w:p>
        </w:tc>
        <w:tc>
          <w:tcPr>
            <w:tcW w:w="6565" w:type="dxa"/>
          </w:tcPr>
          <w:p w14:paraId="1E614D85" w14:textId="275084D4" w:rsidR="003E6D62" w:rsidRPr="00640E14" w:rsidRDefault="003E6D62" w:rsidP="003E6D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Didinant mokyklų savarankiškumą dėl finansinių išteklių naudojimo, rengiamos r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ekomendacijos dėl mokyklų tinklo pertvarkos, įteisinant jungtines mokyklas ir inicijuojant jų kūrimą 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savivaldybėse.</w:t>
            </w:r>
            <w:r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Planuojama, kad rengiant rekomendacijas bus </w:t>
            </w:r>
            <w:r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ustatyti mokyklų tinklo pertvarkos veiksmingumo kiekybiniai ir kokybiniai rodikliai, rodikliams suteiktos reikšmės;</w:t>
            </w:r>
            <w:r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tsižvelgiant į užsienio patirtį ir Lietuvos situaciją</w:t>
            </w:r>
            <w:r w:rsidR="002611BE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,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bus pateikt</w:t>
            </w:r>
            <w:r w:rsidR="00DB44F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siūlym</w:t>
            </w:r>
            <w:r w:rsidR="00DB44F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ų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dėl galimų mokyklų tinklo pertvarkos alternatyvų.</w:t>
            </w:r>
          </w:p>
        </w:tc>
      </w:tr>
      <w:tr w:rsidR="003E6D62" w:rsidRPr="00640E14" w14:paraId="1361C44F" w14:textId="77777777" w:rsidTr="00266542">
        <w:tc>
          <w:tcPr>
            <w:tcW w:w="9350" w:type="dxa"/>
            <w:gridSpan w:val="2"/>
          </w:tcPr>
          <w:p w14:paraId="74F5C3B4" w14:textId="77777777" w:rsidR="003E6D62" w:rsidRPr="00640E14" w:rsidRDefault="003E6D62" w:rsidP="003E6D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2 uždavinys: </w:t>
            </w:r>
            <w:r w:rsidRPr="00640E14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koordinuoti mokyklų, vykdančių ikimokyklinio, priešmokyklinio ir bendrojo ugdymo programas</w:t>
            </w:r>
            <w:r w:rsidR="00AD033C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,</w:t>
            </w:r>
            <w:r w:rsidRPr="00640E14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finansavimo pertvarkų įgyvendinimą</w:t>
            </w:r>
          </w:p>
        </w:tc>
      </w:tr>
      <w:tr w:rsidR="003E6D62" w:rsidRPr="00640E14" w14:paraId="00B81736" w14:textId="77777777" w:rsidTr="0029794D">
        <w:tc>
          <w:tcPr>
            <w:tcW w:w="2785" w:type="dxa"/>
          </w:tcPr>
          <w:p w14:paraId="28B4BE2D" w14:textId="57047555" w:rsidR="003E6D62" w:rsidRPr="00640E14" w:rsidRDefault="003E6D62" w:rsidP="003E6D62">
            <w:pPr>
              <w:rPr>
                <w:rFonts w:ascii="Times New Roman" w:hAnsi="Times New Roman" w:cs="Times New Roman"/>
                <w:bCs/>
                <w:color w:val="538135" w:themeColor="accent6" w:themeShade="BF"/>
                <w:sz w:val="24"/>
                <w:szCs w:val="24"/>
                <w:lang w:val="lt-LT"/>
              </w:rPr>
            </w:pPr>
            <w:r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2.1 veikla: 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rekomendacijų dėl mokytojų etatinio apmokėjimo modelio diegimo parengimas</w:t>
            </w:r>
          </w:p>
        </w:tc>
        <w:tc>
          <w:tcPr>
            <w:tcW w:w="6565" w:type="dxa"/>
          </w:tcPr>
          <w:p w14:paraId="38F09605" w14:textId="1F7AD91C" w:rsidR="003E6D62" w:rsidRPr="00640E14" w:rsidRDefault="003E6D62" w:rsidP="003E6D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Rengiamos r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ekomendacijos savivaldybėms dėl pertvarkos koordinavimo</w:t>
            </w:r>
            <w:r w:rsidR="00304645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,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diegiant mokytojų etatinio apmokėjimo modelį, </w:t>
            </w:r>
            <w:r w:rsidR="002611BE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kartu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pateikiant būd</w:t>
            </w:r>
            <w:r w:rsidR="00304645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ų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(skaičiuokles), kaip efektyviau valdyti mokymo lėšas, siekiant užtikrinti ugdymo kokybę. Rengiant rekomendacijas</w:t>
            </w:r>
            <w:r w:rsidR="002611BE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,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planuojama vykdyti viešas konsultacijas su suinteresuotomis šalimis dėl mokytojų etatinio apmokėjimo modelio diegimo, siekiant išsiaiškinti mokyklų bei savivaldybių poreikius </w:t>
            </w:r>
            <w:r w:rsidR="002611BE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–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ko reikia, kad pertvarka vyktų sklandžiai. </w:t>
            </w:r>
          </w:p>
        </w:tc>
      </w:tr>
      <w:tr w:rsidR="00640E14" w:rsidRPr="00640E14" w14:paraId="77EF1C2A" w14:textId="77777777" w:rsidTr="0029794D">
        <w:tc>
          <w:tcPr>
            <w:tcW w:w="2785" w:type="dxa"/>
          </w:tcPr>
          <w:p w14:paraId="315F1A7B" w14:textId="4ABED295" w:rsidR="00640E14" w:rsidRPr="00640E14" w:rsidRDefault="00640E14" w:rsidP="00640E14">
            <w:pPr>
              <w:rPr>
                <w:rFonts w:ascii="Times New Roman" w:hAnsi="Times New Roman" w:cs="Times New Roman"/>
                <w:bCs/>
                <w:color w:val="538135" w:themeColor="accent6" w:themeShade="BF"/>
                <w:sz w:val="24"/>
                <w:szCs w:val="24"/>
                <w:lang w:val="lt-LT"/>
              </w:rPr>
            </w:pPr>
            <w:r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2.2 veikla: 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mokymų organizavimas asmenims</w:t>
            </w:r>
            <w:r w:rsidR="002611BE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,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teiksiantiems konsultacijas mokykloms, diegiant etatin</w:t>
            </w:r>
            <w:r w:rsidR="00B742B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į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mokytojų darbo apmokėjim</w:t>
            </w:r>
            <w:r w:rsidR="00B742B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ą</w:t>
            </w:r>
          </w:p>
        </w:tc>
        <w:tc>
          <w:tcPr>
            <w:tcW w:w="6565" w:type="dxa"/>
          </w:tcPr>
          <w:p w14:paraId="2887AC70" w14:textId="01521DB4" w:rsidR="00640E14" w:rsidRPr="00640E14" w:rsidRDefault="00640E14" w:rsidP="00640E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Siekiant koordinuoto ir sklandaus pasirengimo įgyvendinti mokytojų etatinio darbo apmokėjimo pertvarką</w:t>
            </w:r>
            <w:r w:rsidR="002611BE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,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bus organizuojami 1 dienos mokymai (preliminari </w:t>
            </w:r>
            <w:r w:rsidR="002611BE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j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ų trukmė iki 8 val.</w:t>
            </w:r>
            <w:r w:rsidR="002611BE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,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numatomas dalyvių skaičius </w:t>
            </w:r>
            <w:r w:rsidR="002611BE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– 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iki 20 asmenų vienoje grupėje) 180 viešojo valdymo institucijų darbuotojų, kurie teiks konsultacijas mokykloms dėl pasirengimo diegti etatin</w:t>
            </w:r>
            <w:r w:rsidR="00304645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io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mokytojų darbo apmokėjim</w:t>
            </w:r>
            <w:r w:rsidR="00304645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o modelį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. </w:t>
            </w:r>
          </w:p>
        </w:tc>
      </w:tr>
      <w:tr w:rsidR="00640E14" w:rsidRPr="00640E14" w14:paraId="5317BDA8" w14:textId="77777777" w:rsidTr="0029794D">
        <w:tc>
          <w:tcPr>
            <w:tcW w:w="2785" w:type="dxa"/>
          </w:tcPr>
          <w:p w14:paraId="2B1866CA" w14:textId="464A2336" w:rsidR="00640E14" w:rsidRPr="00640E14" w:rsidRDefault="00640E14" w:rsidP="00640E14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2.3 veikla: 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mokyklų atstovų informavimas ir konsultavimas dėl mokytojų etatinio darbo apmokėjimo modelio įgyvendinimo</w:t>
            </w:r>
          </w:p>
        </w:tc>
        <w:tc>
          <w:tcPr>
            <w:tcW w:w="6565" w:type="dxa"/>
          </w:tcPr>
          <w:p w14:paraId="622C286D" w14:textId="36956E21" w:rsidR="00640E14" w:rsidRPr="00640E14" w:rsidRDefault="00640E14" w:rsidP="008E07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Planuojama teikti individualias informavimo ir konsultavimo paslaugas mokyklų atstovams </w:t>
            </w:r>
            <w:r w:rsidR="00D85F40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sulaukus</w:t>
            </w:r>
            <w:r w:rsidR="00D85F40"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jų kreipim</w:t>
            </w:r>
            <w:r w:rsidR="00D85F40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o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si – nacionaliniu lygiu teikiant </w:t>
            </w:r>
            <w:r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paslaugas telefonu, el. paštu, </w:t>
            </w:r>
            <w:r w:rsidR="002611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„</w:t>
            </w:r>
            <w:r w:rsidR="008E071B"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Skype</w:t>
            </w:r>
            <w:r w:rsidR="002611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2611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="008E071B"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Facebook</w:t>
            </w:r>
            <w:r w:rsidR="002611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kitomis priemonėmis; vykstant konsultantams į mokyklas. Tokios paslaugos teikiamos ne mažiau kaip 6 mėnesi</w:t>
            </w:r>
            <w:r w:rsidR="00D85F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us</w:t>
            </w:r>
            <w:r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</w:tc>
      </w:tr>
      <w:tr w:rsidR="00640E14" w:rsidRPr="00640E14" w14:paraId="0001519F" w14:textId="77777777" w:rsidTr="0029794D">
        <w:tc>
          <w:tcPr>
            <w:tcW w:w="2785" w:type="dxa"/>
          </w:tcPr>
          <w:p w14:paraId="50D3AAA0" w14:textId="781E7BEB" w:rsidR="00640E14" w:rsidRPr="00640E14" w:rsidRDefault="00640E14" w:rsidP="00640E14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2.4 veikla: parengti prognostinius priimamų sprendimų </w:t>
            </w:r>
            <w:r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dėl mokyklų, vykdančių ikimokyklinio, priešmokyklinio ir bendrojo ugdymo programas</w:t>
            </w:r>
            <w:r w:rsidR="00D85F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finansavimo</w:t>
            </w:r>
            <w:r w:rsidRPr="00640E14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 </w:t>
            </w:r>
            <w:r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sistemos p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ertvarkų vertinimus</w:t>
            </w:r>
          </w:p>
        </w:tc>
        <w:tc>
          <w:tcPr>
            <w:tcW w:w="6565" w:type="dxa"/>
          </w:tcPr>
          <w:p w14:paraId="634598BC" w14:textId="01AC8DC7" w:rsidR="00640E14" w:rsidRPr="00640E14" w:rsidRDefault="00640E14" w:rsidP="00640E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Planuojama parengti priimamų sprendimų</w:t>
            </w:r>
            <w:r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prognostinius vertinimus</w:t>
            </w:r>
            <w:r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dėl mokyklų, vykdančių</w:t>
            </w:r>
            <w:bookmarkStart w:id="0" w:name="_GoBack"/>
            <w:bookmarkEnd w:id="0"/>
            <w:r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ikimokyklinio, priešmokyklinio ir bendrojo ugdymo programas</w:t>
            </w:r>
            <w:r w:rsidR="00D85F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finansavimo</w:t>
            </w:r>
            <w:r w:rsidRPr="00640E14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 </w:t>
            </w:r>
            <w:r w:rsidRPr="00640E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sistemos 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pertvarkos. </w:t>
            </w:r>
            <w:r w:rsidR="00D85F40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B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ūtų atliekami vis</w:t>
            </w:r>
            <w:r w:rsidR="00D85F40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ų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keturi</w:t>
            </w:r>
            <w:r w:rsidR="00D85F40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ų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suplanuot</w:t>
            </w:r>
            <w:r w:rsidR="00D85F40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ų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finansavimo pertvark</w:t>
            </w:r>
            <w:r w:rsidR="00D85F40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ų prognostiniai vertinimai</w:t>
            </w:r>
            <w:r w:rsidRPr="00640E14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. Šiais vertinimais, grįstais faktais ir duomenimis, siekiama išsiaiškinti, ar priimti sprendimai prisideda prie planuoto poveikio pasiekimo ir ar nereikia jų koreguoti. </w:t>
            </w:r>
          </w:p>
        </w:tc>
      </w:tr>
    </w:tbl>
    <w:p w14:paraId="4DA4F4C3" w14:textId="77777777" w:rsidR="003C5591" w:rsidRPr="00640E14" w:rsidRDefault="003C5591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3C5591" w:rsidRPr="00640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E96532" w16cid:durableId="1E9FE74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582A8" w14:textId="77777777" w:rsidR="00EB1785" w:rsidRDefault="00EB1785" w:rsidP="00EB1785">
      <w:pPr>
        <w:spacing w:after="0" w:line="240" w:lineRule="auto"/>
      </w:pPr>
      <w:r>
        <w:separator/>
      </w:r>
    </w:p>
  </w:endnote>
  <w:endnote w:type="continuationSeparator" w:id="0">
    <w:p w14:paraId="13C4D491" w14:textId="77777777" w:rsidR="00EB1785" w:rsidRDefault="00EB1785" w:rsidP="00EB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A80B0" w14:textId="77777777" w:rsidR="00EB1785" w:rsidRDefault="00EB1785" w:rsidP="00EB1785">
      <w:pPr>
        <w:spacing w:after="0" w:line="240" w:lineRule="auto"/>
      </w:pPr>
      <w:r>
        <w:separator/>
      </w:r>
    </w:p>
  </w:footnote>
  <w:footnote w:type="continuationSeparator" w:id="0">
    <w:p w14:paraId="5A980C2A" w14:textId="77777777" w:rsidR="00EB1785" w:rsidRDefault="00EB1785" w:rsidP="00EB1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6007"/>
    <w:multiLevelType w:val="multilevel"/>
    <w:tmpl w:val="5FCE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14059F"/>
    <w:multiLevelType w:val="multilevel"/>
    <w:tmpl w:val="C192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80774"/>
    <w:multiLevelType w:val="multilevel"/>
    <w:tmpl w:val="1F009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E210E1"/>
    <w:multiLevelType w:val="multilevel"/>
    <w:tmpl w:val="793C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DC74F3"/>
    <w:multiLevelType w:val="multilevel"/>
    <w:tmpl w:val="D576C3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BEA142A"/>
    <w:multiLevelType w:val="multilevel"/>
    <w:tmpl w:val="AA9A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2060EA"/>
    <w:multiLevelType w:val="multilevel"/>
    <w:tmpl w:val="69C88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2F54E0"/>
    <w:multiLevelType w:val="multilevel"/>
    <w:tmpl w:val="CD42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2"/>
    <w:rsid w:val="00062261"/>
    <w:rsid w:val="00070179"/>
    <w:rsid w:val="00132517"/>
    <w:rsid w:val="001860F0"/>
    <w:rsid w:val="002346BD"/>
    <w:rsid w:val="00256D0C"/>
    <w:rsid w:val="002611BE"/>
    <w:rsid w:val="0029794D"/>
    <w:rsid w:val="00300D59"/>
    <w:rsid w:val="003017D2"/>
    <w:rsid w:val="00304645"/>
    <w:rsid w:val="00307F05"/>
    <w:rsid w:val="003A1E3C"/>
    <w:rsid w:val="003C5591"/>
    <w:rsid w:val="003E6D62"/>
    <w:rsid w:val="004B2442"/>
    <w:rsid w:val="004C14D9"/>
    <w:rsid w:val="00640E14"/>
    <w:rsid w:val="006641A4"/>
    <w:rsid w:val="007900AE"/>
    <w:rsid w:val="008518D1"/>
    <w:rsid w:val="008E071B"/>
    <w:rsid w:val="008E68A7"/>
    <w:rsid w:val="009935F1"/>
    <w:rsid w:val="00A92381"/>
    <w:rsid w:val="00AB565B"/>
    <w:rsid w:val="00AD033C"/>
    <w:rsid w:val="00B05FB3"/>
    <w:rsid w:val="00B5294B"/>
    <w:rsid w:val="00B742BD"/>
    <w:rsid w:val="00B77502"/>
    <w:rsid w:val="00BF7544"/>
    <w:rsid w:val="00C361B1"/>
    <w:rsid w:val="00D85F40"/>
    <w:rsid w:val="00DB44F7"/>
    <w:rsid w:val="00EB1785"/>
    <w:rsid w:val="00F94363"/>
    <w:rsid w:val="00FD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9A9D"/>
  <w15:chartTrackingRefBased/>
  <w15:docId w15:val="{24D5F553-E38E-44C8-B40E-68EA89DB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B0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B05FB3"/>
    <w:rPr>
      <w:b/>
      <w:bCs/>
    </w:rPr>
  </w:style>
  <w:style w:type="character" w:styleId="Emfaz">
    <w:name w:val="Emphasis"/>
    <w:basedOn w:val="Numatytasispastraiposriftas"/>
    <w:uiPriority w:val="20"/>
    <w:qFormat/>
    <w:rsid w:val="00B05FB3"/>
    <w:rPr>
      <w:i/>
      <w:iCs/>
    </w:rPr>
  </w:style>
  <w:style w:type="table" w:styleId="Lentelstinklelis">
    <w:name w:val="Table Grid"/>
    <w:basedOn w:val="prastojilentel"/>
    <w:uiPriority w:val="39"/>
    <w:rsid w:val="0006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62261"/>
    <w:pPr>
      <w:ind w:left="720"/>
      <w:contextualSpacing/>
    </w:pPr>
  </w:style>
  <w:style w:type="character" w:styleId="Puslapionumeris">
    <w:name w:val="page number"/>
    <w:basedOn w:val="Numatytasispastraiposriftas"/>
    <w:rsid w:val="0029794D"/>
  </w:style>
  <w:style w:type="paragraph" w:customStyle="1" w:styleId="Text1">
    <w:name w:val="Text 1"/>
    <w:basedOn w:val="prastasis"/>
    <w:rsid w:val="0029794D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3251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3251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3251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3251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32517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2517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B1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B1785"/>
  </w:style>
  <w:style w:type="paragraph" w:styleId="Porat">
    <w:name w:val="footer"/>
    <w:basedOn w:val="prastasis"/>
    <w:link w:val="PoratDiagrama"/>
    <w:uiPriority w:val="99"/>
    <w:unhideWhenUsed/>
    <w:rsid w:val="00EB1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B1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5040</Words>
  <Characters>2874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Ilona Jašinauskienė</cp:lastModifiedBy>
  <cp:revision>89</cp:revision>
  <dcterms:created xsi:type="dcterms:W3CDTF">2018-05-14T10:53:00Z</dcterms:created>
  <dcterms:modified xsi:type="dcterms:W3CDTF">2018-05-14T11:08:00Z</dcterms:modified>
</cp:coreProperties>
</file>